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9F" w:rsidRPr="005B0D9F" w:rsidRDefault="005B0D9F" w:rsidP="005B0D9F">
      <w:pPr>
        <w:spacing w:after="183" w:line="36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5B0D9F" w:rsidRPr="00601557" w:rsidRDefault="005B0D9F" w:rsidP="005B0D9F">
      <w:pPr>
        <w:spacing w:after="183" w:line="360" w:lineRule="auto"/>
        <w:jc w:val="both"/>
        <w:rPr>
          <w:rFonts w:ascii="Times New Roman" w:hAnsi="Times New Roman" w:cs="Times New Roman"/>
          <w:sz w:val="24"/>
          <w:szCs w:val="24"/>
        </w:rPr>
      </w:pPr>
      <w:r w:rsidRPr="00601557">
        <w:rPr>
          <w:rFonts w:ascii="Times New Roman" w:hAnsi="Times New Roman" w:cs="Times New Roman"/>
          <w:sz w:val="24"/>
          <w:szCs w:val="24"/>
        </w:rPr>
        <w:t xml:space="preserve">It is evident that there has been a rapid rise in the financial scandals taking place in India. Such instances occur in spite of the laws in force. Political power and brand image has been a major contributing factor to these financial scandals. Banks shall have to evaluate their clients financially before lending loans to them. The organizations must maintain transparency and not mislead the public. Awareness among the investors must also be spread. This paper focuses on the happening of two such financial scandals by examining the facts of both the cases. </w:t>
      </w:r>
    </w:p>
    <w:p w:rsidR="00926CEE" w:rsidRDefault="00926CEE" w:rsidP="005B0D9F">
      <w:pPr>
        <w:spacing w:line="360" w:lineRule="auto"/>
        <w:jc w:val="both"/>
      </w:pPr>
    </w:p>
    <w:sectPr w:rsidR="00926C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0D9F"/>
    <w:rsid w:val="005B0D9F"/>
    <w:rsid w:val="00926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2020-08-06T04:48:00Z</dcterms:created>
  <dcterms:modified xsi:type="dcterms:W3CDTF">2020-08-06T04:49:00Z</dcterms:modified>
</cp:coreProperties>
</file>