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5C" w:rsidRPr="00F5035C" w:rsidRDefault="00F5035C" w:rsidP="00F5035C">
      <w:pPr>
        <w:spacing w:after="183" w:line="36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F5035C" w:rsidRPr="00601557" w:rsidRDefault="00F5035C" w:rsidP="00F5035C">
      <w:pPr>
        <w:spacing w:after="183" w:line="360" w:lineRule="auto"/>
        <w:jc w:val="both"/>
        <w:rPr>
          <w:rFonts w:ascii="Times New Roman" w:hAnsi="Times New Roman" w:cs="Times New Roman"/>
          <w:sz w:val="24"/>
          <w:szCs w:val="24"/>
        </w:rPr>
      </w:pPr>
      <w:r w:rsidRPr="00601557">
        <w:rPr>
          <w:rFonts w:ascii="Times New Roman" w:hAnsi="Times New Roman" w:cs="Times New Roman"/>
          <w:sz w:val="24"/>
          <w:szCs w:val="24"/>
        </w:rPr>
        <w:t xml:space="preserve">Financial analysis is done in order to assess the company’s performance. In this present economy the market has become globally competitive so the survival of the company depends upon its efficiency. Hence it is necessary to evaluate the financial performance of the companies. The purpose of this study is to make financial analysis of the two selected companies namely </w:t>
      </w:r>
      <w:proofErr w:type="spellStart"/>
      <w:r w:rsidRPr="00601557">
        <w:rPr>
          <w:rFonts w:ascii="Times New Roman" w:hAnsi="Times New Roman" w:cs="Times New Roman"/>
          <w:sz w:val="24"/>
          <w:szCs w:val="24"/>
        </w:rPr>
        <w:t>BhartiAirtel</w:t>
      </w:r>
      <w:proofErr w:type="spellEnd"/>
      <w:r w:rsidRPr="00601557">
        <w:rPr>
          <w:rFonts w:ascii="Times New Roman" w:hAnsi="Times New Roman" w:cs="Times New Roman"/>
          <w:sz w:val="24"/>
          <w:szCs w:val="24"/>
        </w:rPr>
        <w:t xml:space="preserve"> and Vodafone. There are various financial tools and techniques for financial analysis. This study is based on the technique of accounting such as comparative statement which is used to examine the financial analysis of these two companies. This study is made for five years i.e. from 2014-2015 to 2018-2019. Balance sheets of both the companies are analyzed using comparative statement analysis in statement form as per Companies Act of 2013. At the end of the study we can able to analyze which company is performing good.</w:t>
      </w:r>
    </w:p>
    <w:p w:rsidR="00DD5A1A" w:rsidRDefault="00DD5A1A"/>
    <w:sectPr w:rsidR="00DD5A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035C"/>
    <w:rsid w:val="00DD5A1A"/>
    <w:rsid w:val="00F50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2020-08-06T04:52:00Z</dcterms:created>
  <dcterms:modified xsi:type="dcterms:W3CDTF">2020-08-06T04:53:00Z</dcterms:modified>
</cp:coreProperties>
</file>