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9C" w:rsidRPr="006F3E9C" w:rsidRDefault="006F3E9C" w:rsidP="006F3E9C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6F3E9C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1A4DDB" w:rsidRPr="006F3E9C" w:rsidRDefault="006F3E9C" w:rsidP="006F3E9C">
      <w:pPr>
        <w:spacing w:line="360" w:lineRule="auto"/>
        <w:jc w:val="both"/>
        <w:rPr>
          <w:sz w:val="24"/>
          <w:szCs w:val="24"/>
        </w:rPr>
      </w:pPr>
      <w:r w:rsidRPr="006F3E9C">
        <w:rPr>
          <w:rFonts w:ascii="Times New Roman" w:eastAsia="Times New Roman" w:hAnsi="Times New Roman"/>
          <w:color w:val="333333"/>
          <w:sz w:val="24"/>
          <w:szCs w:val="24"/>
        </w:rPr>
        <w:t>The elite retail divisions of firms such as </w:t>
      </w:r>
      <w:hyperlink r:id="rId4" w:tooltip="Goldman Sachs" w:history="1">
        <w:r w:rsidRPr="006F3E9C">
          <w:rPr>
            <w:rFonts w:ascii="Times New Roman" w:eastAsia="Times New Roman" w:hAnsi="Times New Roman"/>
            <w:color w:val="333333"/>
            <w:sz w:val="24"/>
            <w:szCs w:val="24"/>
          </w:rPr>
          <w:t>Goldman Sachs</w:t>
        </w:r>
      </w:hyperlink>
      <w:r w:rsidRPr="006F3E9C">
        <w:rPr>
          <w:rFonts w:ascii="Times New Roman" w:eastAsia="Times New Roman" w:hAnsi="Times New Roman"/>
          <w:color w:val="333333"/>
          <w:sz w:val="24"/>
          <w:szCs w:val="24"/>
        </w:rPr>
        <w:t> or </w:t>
      </w:r>
      <w:hyperlink r:id="rId5" w:tooltip="Morgan Stanley" w:history="1">
        <w:r w:rsidRPr="006F3E9C">
          <w:rPr>
            <w:rFonts w:ascii="Times New Roman" w:eastAsia="Times New Roman" w:hAnsi="Times New Roman"/>
            <w:color w:val="333333"/>
            <w:sz w:val="24"/>
            <w:szCs w:val="24"/>
          </w:rPr>
          <w:t>Morgan Stanley</w:t>
        </w:r>
      </w:hyperlink>
      <w:r w:rsidRPr="006F3E9C">
        <w:rPr>
          <w:rFonts w:ascii="Times New Roman" w:eastAsia="Times New Roman" w:hAnsi="Times New Roman"/>
          <w:color w:val="333333"/>
          <w:sz w:val="24"/>
          <w:szCs w:val="24"/>
        </w:rPr>
        <w:t xml:space="preserve"> , to distinguish those divisions' services from mass-market offerings, but </w:t>
      </w:r>
      <w:proofErr w:type="gramStart"/>
      <w:r w:rsidRPr="006F3E9C">
        <w:rPr>
          <w:rFonts w:ascii="Times New Roman" w:eastAsia="Times New Roman" w:hAnsi="Times New Roman"/>
          <w:color w:val="333333"/>
          <w:sz w:val="24"/>
          <w:szCs w:val="24"/>
        </w:rPr>
        <w:t>has</w:t>
      </w:r>
      <w:proofErr w:type="gramEnd"/>
      <w:r w:rsidRPr="006F3E9C">
        <w:rPr>
          <w:rFonts w:ascii="Times New Roman" w:eastAsia="Times New Roman" w:hAnsi="Times New Roman"/>
          <w:color w:val="333333"/>
          <w:sz w:val="24"/>
          <w:szCs w:val="24"/>
        </w:rPr>
        <w:t xml:space="preserve"> since spread throughout the financial-services industry that had formerly served just one family opened their doors to other families, and the term Multi-family office was coined. Accounting firms and investment advisory boutiques created multi-family offices as well. Certain larger firms have "tiered" their platforms – with separate branch systems and advisor-training programs, distinguishing "Private Wealth Management" from "Wealth Management", with the latter term denoting the same type of services but with a lower degree of customization and delivered to </w:t>
      </w:r>
      <w:hyperlink r:id="rId6" w:tooltip="Mass affluent" w:history="1">
        <w:r w:rsidRPr="006F3E9C">
          <w:rPr>
            <w:rFonts w:ascii="Times New Roman" w:eastAsia="Times New Roman" w:hAnsi="Times New Roman"/>
            <w:color w:val="333333"/>
            <w:sz w:val="24"/>
            <w:szCs w:val="24"/>
          </w:rPr>
          <w:t>mass affluent</w:t>
        </w:r>
      </w:hyperlink>
      <w:r w:rsidRPr="006F3E9C">
        <w:rPr>
          <w:rFonts w:ascii="Times New Roman" w:eastAsia="Times New Roman" w:hAnsi="Times New Roman"/>
          <w:color w:val="333333"/>
          <w:sz w:val="24"/>
          <w:szCs w:val="24"/>
        </w:rPr>
        <w:t> clients.</w:t>
      </w:r>
    </w:p>
    <w:sectPr w:rsidR="001A4DDB" w:rsidRPr="006F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3E9C"/>
    <w:rsid w:val="001A4DDB"/>
    <w:rsid w:val="006F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Mass_affluent" TargetMode="External"/><Relationship Id="rId5" Type="http://schemas.openxmlformats.org/officeDocument/2006/relationships/hyperlink" Target="http://en.wikipedia.org/wiki/Morgan_Stanley" TargetMode="External"/><Relationship Id="rId4" Type="http://schemas.openxmlformats.org/officeDocument/2006/relationships/hyperlink" Target="http://en.wikipedia.org/wiki/Goldman_Sac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2020-08-12T09:22:00Z</dcterms:created>
  <dcterms:modified xsi:type="dcterms:W3CDTF">2020-08-12T09:22:00Z</dcterms:modified>
</cp:coreProperties>
</file>