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45" w:rsidRPr="00150345" w:rsidRDefault="00150345" w:rsidP="00150345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150345">
        <w:rPr>
          <w:rFonts w:ascii="Times New Roman" w:hAnsi="Times New Roman"/>
          <w:b/>
          <w:color w:val="333333"/>
          <w:sz w:val="32"/>
          <w:szCs w:val="32"/>
        </w:rPr>
        <w:t>Abstract</w:t>
      </w:r>
    </w:p>
    <w:p w:rsidR="006C2C3E" w:rsidRPr="00150345" w:rsidRDefault="00150345" w:rsidP="00150345">
      <w:pPr>
        <w:spacing w:line="360" w:lineRule="auto"/>
        <w:jc w:val="both"/>
        <w:rPr>
          <w:sz w:val="24"/>
          <w:szCs w:val="24"/>
        </w:rPr>
      </w:pPr>
      <w:r w:rsidRPr="00150345">
        <w:rPr>
          <w:rFonts w:ascii="Times New Roman" w:hAnsi="Times New Roman"/>
          <w:sz w:val="24"/>
          <w:szCs w:val="24"/>
        </w:rPr>
        <w:t>Electronic waste (E-Waste) is one of the growing waste streams globally. Managing and recycling of these wastes have a greater challenge to the society. The present study is being confined to assess the awareness and issues of E-waste among the households. For the purpose of data collection the study utilizes a structured questionnaire of 100 household respondents on convenient basis. Percentage analysis, ANOVA and ranking technique were used to analyze the data. The findings of the study state that there is a lack of awareness among the households with regard to the hazardous components, handling technique, agencies and regulations with regard to E-waste. The educational level of the household respondents plays a significant role towards the awareness of E-waste management.</w:t>
      </w:r>
    </w:p>
    <w:sectPr w:rsidR="006C2C3E" w:rsidRPr="0015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0345"/>
    <w:rsid w:val="00150345"/>
    <w:rsid w:val="006C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2020-08-17T07:45:00Z</dcterms:created>
  <dcterms:modified xsi:type="dcterms:W3CDTF">2020-08-17T07:45:00Z</dcterms:modified>
</cp:coreProperties>
</file>