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3BB" w:rsidRPr="000213BB" w:rsidRDefault="000213BB" w:rsidP="000213BB">
      <w:pPr>
        <w:pStyle w:val="Default"/>
        <w:jc w:val="center"/>
        <w:rPr>
          <w:rFonts w:ascii="Times New Roman" w:hAnsi="Times New Roman" w:cs="Times New Roman"/>
          <w:b/>
          <w:color w:val="auto"/>
          <w:sz w:val="32"/>
          <w:szCs w:val="32"/>
        </w:rPr>
      </w:pPr>
      <w:r w:rsidRPr="000213BB">
        <w:rPr>
          <w:rFonts w:ascii="Times New Roman" w:hAnsi="Times New Roman" w:cs="Times New Roman"/>
          <w:b/>
          <w:color w:val="auto"/>
          <w:sz w:val="32"/>
          <w:szCs w:val="32"/>
        </w:rPr>
        <w:t>Abstract</w:t>
      </w:r>
    </w:p>
    <w:p w:rsidR="000213BB" w:rsidRPr="00F76B26" w:rsidRDefault="000213BB" w:rsidP="000213BB">
      <w:pPr>
        <w:pStyle w:val="Default"/>
        <w:rPr>
          <w:rFonts w:ascii="Times New Roman" w:hAnsi="Times New Roman" w:cs="Times New Roman"/>
          <w:color w:val="auto"/>
        </w:rPr>
      </w:pPr>
    </w:p>
    <w:p w:rsidR="00BE6CCB" w:rsidRPr="000213BB" w:rsidRDefault="000213BB" w:rsidP="000213BB">
      <w:pPr>
        <w:spacing w:line="360" w:lineRule="auto"/>
        <w:jc w:val="both"/>
        <w:rPr>
          <w:sz w:val="24"/>
          <w:szCs w:val="24"/>
        </w:rPr>
      </w:pPr>
      <w:r w:rsidRPr="000213BB">
        <w:rPr>
          <w:rFonts w:ascii="Times New Roman" w:hAnsi="Times New Roman" w:cs="Times New Roman"/>
          <w:sz w:val="24"/>
          <w:szCs w:val="24"/>
        </w:rPr>
        <w:t xml:space="preserve"> Work life is commonly referred to as work and family. To balance between the family and work responsibilities has become a challenge for the people in many profession. There is a conflict between work and family roles are a common experience among government school women teachers. This paper analyses the work life conflict of government school women teachers. This study is based on primary data collected from 150 respondents by means of a questionnaire. Random sampling technique was applied and statistical tools like percentage analysis, chi-square test and weighted average was carried out in order to reveal the results of this study.</w:t>
      </w:r>
    </w:p>
    <w:sectPr w:rsidR="00BE6CCB" w:rsidRPr="000213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13BB"/>
    <w:rsid w:val="000213BB"/>
    <w:rsid w:val="00BE6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3BB"/>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2020-08-21T05:40:00Z</dcterms:created>
  <dcterms:modified xsi:type="dcterms:W3CDTF">2020-08-21T05:40:00Z</dcterms:modified>
</cp:coreProperties>
</file>